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FCFE" w14:textId="77777777" w:rsidR="000E3DB3" w:rsidRDefault="000E3DB3" w:rsidP="000E3DB3">
      <w:pPr>
        <w:pStyle w:val="Default"/>
      </w:pPr>
    </w:p>
    <w:p w14:paraId="6E127FED" w14:textId="77777777" w:rsidR="000E3DB3" w:rsidRDefault="000E3DB3" w:rsidP="000E3DB3">
      <w:pPr>
        <w:pStyle w:val="Default"/>
        <w:jc w:val="center"/>
        <w:rPr>
          <w:sz w:val="26"/>
          <w:szCs w:val="26"/>
        </w:rPr>
      </w:pPr>
      <w:r>
        <w:rPr>
          <w:b/>
          <w:bCs/>
          <w:sz w:val="32"/>
          <w:szCs w:val="32"/>
        </w:rPr>
        <w:t>T</w:t>
      </w:r>
      <w:r>
        <w:rPr>
          <w:b/>
          <w:bCs/>
          <w:sz w:val="26"/>
          <w:szCs w:val="26"/>
        </w:rPr>
        <w:t xml:space="preserve">OWN OF </w:t>
      </w:r>
      <w:r>
        <w:rPr>
          <w:b/>
          <w:bCs/>
          <w:sz w:val="32"/>
          <w:szCs w:val="32"/>
        </w:rPr>
        <w:t>Hempstead Local Development Corporation</w:t>
      </w:r>
    </w:p>
    <w:p w14:paraId="56C29744" w14:textId="77777777" w:rsidR="000E3DB3" w:rsidRDefault="000E3DB3" w:rsidP="000E3DB3">
      <w:pPr>
        <w:pStyle w:val="Default"/>
        <w:jc w:val="center"/>
        <w:rPr>
          <w:b/>
          <w:bCs/>
          <w:sz w:val="26"/>
          <w:szCs w:val="26"/>
        </w:rPr>
      </w:pPr>
      <w:r>
        <w:rPr>
          <w:b/>
          <w:bCs/>
          <w:sz w:val="32"/>
          <w:szCs w:val="32"/>
        </w:rPr>
        <w:t>P</w:t>
      </w:r>
      <w:r>
        <w:rPr>
          <w:b/>
          <w:bCs/>
          <w:sz w:val="26"/>
          <w:szCs w:val="26"/>
        </w:rPr>
        <w:t xml:space="preserve">OLICY ON </w:t>
      </w:r>
      <w:r>
        <w:rPr>
          <w:b/>
          <w:bCs/>
          <w:sz w:val="32"/>
          <w:szCs w:val="32"/>
        </w:rPr>
        <w:t>F</w:t>
      </w:r>
      <w:r>
        <w:rPr>
          <w:b/>
          <w:bCs/>
          <w:sz w:val="26"/>
          <w:szCs w:val="26"/>
        </w:rPr>
        <w:t xml:space="preserve">UND </w:t>
      </w:r>
      <w:r>
        <w:rPr>
          <w:b/>
          <w:bCs/>
          <w:sz w:val="32"/>
          <w:szCs w:val="32"/>
        </w:rPr>
        <w:t>B</w:t>
      </w:r>
      <w:r>
        <w:rPr>
          <w:b/>
          <w:bCs/>
          <w:sz w:val="26"/>
          <w:szCs w:val="26"/>
        </w:rPr>
        <w:t>ALANCE</w:t>
      </w:r>
    </w:p>
    <w:p w14:paraId="0231E266" w14:textId="77777777" w:rsidR="000E3DB3" w:rsidRDefault="000E3DB3" w:rsidP="000E3DB3">
      <w:pPr>
        <w:pStyle w:val="Default"/>
        <w:rPr>
          <w:sz w:val="23"/>
          <w:szCs w:val="23"/>
        </w:rPr>
      </w:pPr>
    </w:p>
    <w:p w14:paraId="4EC71C99" w14:textId="77777777" w:rsidR="000E3DB3" w:rsidRDefault="000E3DB3" w:rsidP="000E3DB3">
      <w:pPr>
        <w:pStyle w:val="Default"/>
        <w:rPr>
          <w:sz w:val="23"/>
          <w:szCs w:val="23"/>
        </w:rPr>
      </w:pPr>
      <w:r>
        <w:rPr>
          <w:sz w:val="23"/>
          <w:szCs w:val="23"/>
        </w:rPr>
        <w:t xml:space="preserve">It is </w:t>
      </w:r>
      <w:r w:rsidR="00EA1F8D">
        <w:rPr>
          <w:sz w:val="23"/>
          <w:szCs w:val="23"/>
        </w:rPr>
        <w:t>Board’s fiduciary duty</w:t>
      </w:r>
      <w:r w:rsidR="009B5293">
        <w:rPr>
          <w:sz w:val="23"/>
          <w:szCs w:val="23"/>
        </w:rPr>
        <w:t xml:space="preserve"> is</w:t>
      </w:r>
      <w:r>
        <w:rPr>
          <w:sz w:val="23"/>
          <w:szCs w:val="23"/>
        </w:rPr>
        <w:t xml:space="preserve"> to provide a fiscally responsible financial plan that considers both the short and long-term needs of the </w:t>
      </w:r>
      <w:r w:rsidR="00EA1F8D">
        <w:rPr>
          <w:sz w:val="23"/>
          <w:szCs w:val="23"/>
        </w:rPr>
        <w:t>LDC</w:t>
      </w:r>
      <w:r>
        <w:rPr>
          <w:sz w:val="23"/>
          <w:szCs w:val="23"/>
        </w:rPr>
        <w:t xml:space="preserve">. </w:t>
      </w:r>
    </w:p>
    <w:p w14:paraId="47A1069B" w14:textId="77777777" w:rsidR="009B5293" w:rsidRDefault="009B5293" w:rsidP="000E3DB3">
      <w:pPr>
        <w:pStyle w:val="Default"/>
        <w:rPr>
          <w:sz w:val="23"/>
          <w:szCs w:val="23"/>
        </w:rPr>
      </w:pPr>
    </w:p>
    <w:p w14:paraId="07873DCE" w14:textId="77777777" w:rsidR="000E3DB3" w:rsidRDefault="000E3DB3" w:rsidP="000E3DB3">
      <w:pPr>
        <w:pStyle w:val="Default"/>
        <w:rPr>
          <w:sz w:val="23"/>
          <w:szCs w:val="23"/>
        </w:rPr>
      </w:pPr>
      <w:r>
        <w:rPr>
          <w:sz w:val="23"/>
          <w:szCs w:val="23"/>
        </w:rPr>
        <w:t xml:space="preserve">While the expenditures for the base operations of the </w:t>
      </w:r>
      <w:r w:rsidR="00545141">
        <w:rPr>
          <w:sz w:val="23"/>
          <w:szCs w:val="23"/>
        </w:rPr>
        <w:t>LDC</w:t>
      </w:r>
      <w:r>
        <w:rPr>
          <w:sz w:val="23"/>
          <w:szCs w:val="23"/>
        </w:rPr>
        <w:t xml:space="preserve"> are stable, the revenue streams are typically dependent on the number and magnitude of projects that are approved. Even when one or more projects may be pending, the actual timing of closings is dependent </w:t>
      </w:r>
      <w:r w:rsidR="009B5293">
        <w:rPr>
          <w:sz w:val="23"/>
          <w:szCs w:val="23"/>
        </w:rPr>
        <w:t>upon</w:t>
      </w:r>
      <w:r>
        <w:rPr>
          <w:sz w:val="23"/>
          <w:szCs w:val="23"/>
        </w:rPr>
        <w:t xml:space="preserve"> many external factors, including the ability of the applicant to obtain financing, the current economic conditions, and relationships with the applicant’s key business partners. These factors contribute to a </w:t>
      </w:r>
      <w:proofErr w:type="gramStart"/>
      <w:r>
        <w:rPr>
          <w:sz w:val="23"/>
          <w:szCs w:val="23"/>
        </w:rPr>
        <w:t>sometimes extended</w:t>
      </w:r>
      <w:proofErr w:type="gramEnd"/>
      <w:r>
        <w:rPr>
          <w:sz w:val="23"/>
          <w:szCs w:val="23"/>
        </w:rPr>
        <w:t xml:space="preserve"> period of time between the </w:t>
      </w:r>
      <w:r w:rsidR="009B5293">
        <w:rPr>
          <w:sz w:val="23"/>
          <w:szCs w:val="23"/>
        </w:rPr>
        <w:t>company’s LDC</w:t>
      </w:r>
      <w:r>
        <w:rPr>
          <w:sz w:val="23"/>
          <w:szCs w:val="23"/>
        </w:rPr>
        <w:t xml:space="preserve"> </w:t>
      </w:r>
      <w:r w:rsidR="00EA1F8D">
        <w:rPr>
          <w:sz w:val="23"/>
          <w:szCs w:val="23"/>
        </w:rPr>
        <w:t>application and closing</w:t>
      </w:r>
      <w:r>
        <w:rPr>
          <w:sz w:val="23"/>
          <w:szCs w:val="23"/>
        </w:rPr>
        <w:t xml:space="preserve">. </w:t>
      </w:r>
    </w:p>
    <w:p w14:paraId="6A5AC4FA" w14:textId="77777777" w:rsidR="00545141" w:rsidRDefault="00545141" w:rsidP="000E3DB3">
      <w:pPr>
        <w:pStyle w:val="Default"/>
        <w:rPr>
          <w:sz w:val="23"/>
          <w:szCs w:val="23"/>
        </w:rPr>
      </w:pPr>
    </w:p>
    <w:p w14:paraId="37438D0D" w14:textId="77777777" w:rsidR="000E3DB3" w:rsidRDefault="000E3DB3" w:rsidP="000E3DB3">
      <w:pPr>
        <w:pStyle w:val="Default"/>
        <w:rPr>
          <w:sz w:val="23"/>
          <w:szCs w:val="23"/>
        </w:rPr>
      </w:pPr>
      <w:r>
        <w:rPr>
          <w:b/>
          <w:bCs/>
          <w:sz w:val="23"/>
          <w:szCs w:val="23"/>
        </w:rPr>
        <w:t xml:space="preserve">Level of Fund Balance </w:t>
      </w:r>
    </w:p>
    <w:p w14:paraId="35870A95" w14:textId="77777777" w:rsidR="000E3DB3" w:rsidRDefault="00BE4050" w:rsidP="000E3DB3">
      <w:pPr>
        <w:pStyle w:val="Default"/>
        <w:rPr>
          <w:sz w:val="23"/>
          <w:szCs w:val="23"/>
        </w:rPr>
      </w:pPr>
      <w:r>
        <w:rPr>
          <w:sz w:val="23"/>
          <w:szCs w:val="23"/>
        </w:rPr>
        <w:t>Give</w:t>
      </w:r>
      <w:r w:rsidR="00EA1F8D">
        <w:rPr>
          <w:sz w:val="23"/>
          <w:szCs w:val="23"/>
        </w:rPr>
        <w:t>n</w:t>
      </w:r>
      <w:r>
        <w:rPr>
          <w:sz w:val="23"/>
          <w:szCs w:val="23"/>
        </w:rPr>
        <w:t xml:space="preserve"> the possibility of a lengthy period elapsing before project fees are realize</w:t>
      </w:r>
      <w:r w:rsidR="00A220DD">
        <w:rPr>
          <w:sz w:val="23"/>
          <w:szCs w:val="23"/>
        </w:rPr>
        <w:t>d</w:t>
      </w:r>
      <w:r>
        <w:rPr>
          <w:sz w:val="23"/>
          <w:szCs w:val="23"/>
        </w:rPr>
        <w:t>, a</w:t>
      </w:r>
      <w:r w:rsidR="000E3DB3">
        <w:rPr>
          <w:sz w:val="23"/>
          <w:szCs w:val="23"/>
        </w:rPr>
        <w:t xml:space="preserve"> reasonable </w:t>
      </w:r>
      <w:r w:rsidR="009B5293">
        <w:rPr>
          <w:sz w:val="23"/>
          <w:szCs w:val="23"/>
        </w:rPr>
        <w:t xml:space="preserve">minimum, </w:t>
      </w:r>
      <w:r w:rsidR="000E3DB3">
        <w:rPr>
          <w:sz w:val="23"/>
          <w:szCs w:val="23"/>
        </w:rPr>
        <w:t xml:space="preserve">fund balance level would be approximately </w:t>
      </w:r>
      <w:r w:rsidR="009B5293">
        <w:rPr>
          <w:sz w:val="23"/>
          <w:szCs w:val="23"/>
        </w:rPr>
        <w:t>eight</w:t>
      </w:r>
      <w:r w:rsidR="000E3DB3">
        <w:rPr>
          <w:sz w:val="23"/>
          <w:szCs w:val="23"/>
        </w:rPr>
        <w:t xml:space="preserve"> times the average annual expenses.</w:t>
      </w:r>
      <w:r w:rsidR="00EA1F8D">
        <w:rPr>
          <w:sz w:val="23"/>
          <w:szCs w:val="23"/>
        </w:rPr>
        <w:t xml:space="preserve"> The maximum target level will be </w:t>
      </w:r>
      <w:r w:rsidR="009B5293">
        <w:rPr>
          <w:sz w:val="23"/>
          <w:szCs w:val="23"/>
        </w:rPr>
        <w:t>fifteen</w:t>
      </w:r>
      <w:r w:rsidR="00EA1F8D">
        <w:rPr>
          <w:sz w:val="23"/>
          <w:szCs w:val="23"/>
        </w:rPr>
        <w:t xml:space="preserve"> times the average annual budg</w:t>
      </w:r>
      <w:r w:rsidR="009B5293">
        <w:rPr>
          <w:sz w:val="23"/>
          <w:szCs w:val="23"/>
        </w:rPr>
        <w:t>et for the previous three years.</w:t>
      </w:r>
    </w:p>
    <w:p w14:paraId="18ADCE52" w14:textId="77777777" w:rsidR="00545141" w:rsidRDefault="00545141" w:rsidP="000E3DB3">
      <w:pPr>
        <w:pStyle w:val="Default"/>
        <w:rPr>
          <w:sz w:val="23"/>
          <w:szCs w:val="23"/>
        </w:rPr>
      </w:pPr>
    </w:p>
    <w:p w14:paraId="5ED0F19C" w14:textId="77777777" w:rsidR="000E3DB3" w:rsidRDefault="000E3DB3" w:rsidP="000E3DB3">
      <w:pPr>
        <w:pStyle w:val="Default"/>
        <w:rPr>
          <w:sz w:val="23"/>
          <w:szCs w:val="23"/>
        </w:rPr>
      </w:pPr>
      <w:r>
        <w:rPr>
          <w:b/>
          <w:bCs/>
          <w:sz w:val="23"/>
          <w:szCs w:val="23"/>
        </w:rPr>
        <w:t xml:space="preserve">Actions to be Taken to Maintain the Fund Balance </w:t>
      </w:r>
    </w:p>
    <w:p w14:paraId="10D1D500" w14:textId="77777777" w:rsidR="000E3DB3" w:rsidRDefault="000E3DB3" w:rsidP="000E3DB3">
      <w:pPr>
        <w:pStyle w:val="Default"/>
        <w:rPr>
          <w:sz w:val="23"/>
          <w:szCs w:val="23"/>
        </w:rPr>
      </w:pPr>
      <w:r>
        <w:rPr>
          <w:sz w:val="23"/>
          <w:szCs w:val="23"/>
        </w:rPr>
        <w:t xml:space="preserve">If the fund balance is projected to fall below the minimum targeted level by calendar year, a plan for recommended expenditure reductions and/or revenue increases shall be submitted to the Finance Committee </w:t>
      </w:r>
      <w:r w:rsidR="00650D82">
        <w:rPr>
          <w:sz w:val="23"/>
          <w:szCs w:val="23"/>
        </w:rPr>
        <w:t>as well as the CEO and</w:t>
      </w:r>
      <w:r>
        <w:rPr>
          <w:sz w:val="23"/>
          <w:szCs w:val="23"/>
        </w:rPr>
        <w:t xml:space="preserve"> the Chief Financial Officer. The plan to restore the minimum</w:t>
      </w:r>
      <w:r w:rsidR="00EA1F8D">
        <w:rPr>
          <w:sz w:val="23"/>
          <w:szCs w:val="23"/>
        </w:rPr>
        <w:t>/maximum</w:t>
      </w:r>
      <w:r>
        <w:rPr>
          <w:sz w:val="23"/>
          <w:szCs w:val="23"/>
        </w:rPr>
        <w:t xml:space="preserve"> fund balance</w:t>
      </w:r>
      <w:r w:rsidR="00EA1F8D">
        <w:rPr>
          <w:sz w:val="23"/>
          <w:szCs w:val="23"/>
        </w:rPr>
        <w:t xml:space="preserve"> will be presented and adopted by the Board.</w:t>
      </w:r>
      <w:r>
        <w:rPr>
          <w:sz w:val="23"/>
          <w:szCs w:val="23"/>
        </w:rPr>
        <w:t xml:space="preserve"> </w:t>
      </w:r>
    </w:p>
    <w:p w14:paraId="5CE526FB" w14:textId="77777777" w:rsidR="00545141" w:rsidRDefault="00545141" w:rsidP="000E3DB3">
      <w:pPr>
        <w:pStyle w:val="Default"/>
        <w:rPr>
          <w:sz w:val="23"/>
          <w:szCs w:val="23"/>
        </w:rPr>
      </w:pPr>
    </w:p>
    <w:p w14:paraId="5E155E0C" w14:textId="77777777" w:rsidR="000E3DB3" w:rsidRDefault="000E3DB3" w:rsidP="000E3DB3">
      <w:pPr>
        <w:pStyle w:val="Default"/>
        <w:rPr>
          <w:b/>
          <w:bCs/>
          <w:sz w:val="23"/>
          <w:szCs w:val="23"/>
        </w:rPr>
      </w:pPr>
      <w:r>
        <w:rPr>
          <w:b/>
          <w:bCs/>
          <w:sz w:val="23"/>
          <w:szCs w:val="23"/>
        </w:rPr>
        <w:t>The Policy, and the determination of the appropriate minimum</w:t>
      </w:r>
      <w:r w:rsidR="009B5293">
        <w:rPr>
          <w:b/>
          <w:bCs/>
          <w:sz w:val="23"/>
          <w:szCs w:val="23"/>
        </w:rPr>
        <w:t>/maximum</w:t>
      </w:r>
      <w:r>
        <w:rPr>
          <w:b/>
          <w:bCs/>
          <w:sz w:val="23"/>
          <w:szCs w:val="23"/>
        </w:rPr>
        <w:t xml:space="preserve"> balance amount, shall be reviewed annually. </w:t>
      </w:r>
    </w:p>
    <w:p w14:paraId="74C5DDA7" w14:textId="77777777" w:rsidR="000E3DB3" w:rsidRDefault="000E3DB3" w:rsidP="000E3DB3">
      <w:pPr>
        <w:pStyle w:val="Default"/>
        <w:rPr>
          <w:sz w:val="23"/>
          <w:szCs w:val="23"/>
        </w:rPr>
      </w:pPr>
    </w:p>
    <w:p w14:paraId="65D55410" w14:textId="0AACB703" w:rsidR="00836B3E" w:rsidRDefault="000E3DB3" w:rsidP="000E3DB3">
      <w:pPr>
        <w:rPr>
          <w:i/>
          <w:iCs/>
        </w:rPr>
      </w:pPr>
      <w:r>
        <w:rPr>
          <w:i/>
          <w:iCs/>
        </w:rPr>
        <w:t xml:space="preserve">Created </w:t>
      </w:r>
      <w:r w:rsidR="00A63C27">
        <w:rPr>
          <w:i/>
          <w:iCs/>
        </w:rPr>
        <w:t xml:space="preserve">originally on </w:t>
      </w:r>
      <w:r w:rsidR="00ED2A3E">
        <w:rPr>
          <w:i/>
          <w:iCs/>
        </w:rPr>
        <w:t>12/20/22</w:t>
      </w:r>
    </w:p>
    <w:p w14:paraId="4406E884" w14:textId="15843CB6" w:rsidR="005C06A2" w:rsidRDefault="00034BA3" w:rsidP="000E3DB3">
      <w:pPr>
        <w:rPr>
          <w:i/>
          <w:iCs/>
        </w:rPr>
      </w:pPr>
      <w:r>
        <w:rPr>
          <w:i/>
          <w:iCs/>
        </w:rPr>
        <w:t>0</w:t>
      </w:r>
      <w:r w:rsidR="00A67C02">
        <w:rPr>
          <w:i/>
          <w:iCs/>
        </w:rPr>
        <w:t>3</w:t>
      </w:r>
      <w:r w:rsidR="00133ACF">
        <w:rPr>
          <w:i/>
          <w:iCs/>
        </w:rPr>
        <w:t>3</w:t>
      </w:r>
      <w:r w:rsidR="005C06A2">
        <w:rPr>
          <w:i/>
          <w:iCs/>
        </w:rPr>
        <w:t>-202</w:t>
      </w:r>
      <w:r w:rsidR="003F5BD4">
        <w:rPr>
          <w:i/>
          <w:iCs/>
        </w:rPr>
        <w:t>4</w:t>
      </w:r>
      <w:r w:rsidR="005C06A2">
        <w:rPr>
          <w:i/>
          <w:iCs/>
        </w:rPr>
        <w:t xml:space="preserve"> LDC</w:t>
      </w:r>
    </w:p>
    <w:p w14:paraId="5812EFB6" w14:textId="0667EEDA" w:rsidR="005C06A2" w:rsidRDefault="005C06A2" w:rsidP="000E3DB3">
      <w:pPr>
        <w:rPr>
          <w:i/>
          <w:iCs/>
        </w:rPr>
      </w:pPr>
      <w:r>
        <w:rPr>
          <w:i/>
          <w:iCs/>
        </w:rPr>
        <w:t>Ayes:</w:t>
      </w:r>
      <w:r w:rsidR="003964C0">
        <w:rPr>
          <w:i/>
          <w:iCs/>
        </w:rPr>
        <w:t xml:space="preserve"> </w:t>
      </w:r>
    </w:p>
    <w:p w14:paraId="6982F833" w14:textId="5C42DA4A" w:rsidR="005C06A2" w:rsidRDefault="005C06A2" w:rsidP="000E3DB3">
      <w:pPr>
        <w:rPr>
          <w:i/>
          <w:iCs/>
        </w:rPr>
      </w:pPr>
      <w:r>
        <w:rPr>
          <w:i/>
          <w:iCs/>
        </w:rPr>
        <w:t>Nays:</w:t>
      </w:r>
    </w:p>
    <w:p w14:paraId="6078A99F" w14:textId="33F2A5D6" w:rsidR="005C06A2" w:rsidRDefault="005C06A2" w:rsidP="000E3DB3">
      <w:pPr>
        <w:pBdr>
          <w:bottom w:val="single" w:sz="12" w:space="1" w:color="auto"/>
        </w:pBdr>
        <w:rPr>
          <w:i/>
          <w:iCs/>
        </w:rPr>
      </w:pPr>
      <w:r w:rsidRPr="004D4D9A">
        <w:rPr>
          <w:i/>
          <w:iCs/>
        </w:rPr>
        <w:t xml:space="preserve">Adopted: </w:t>
      </w:r>
      <w:r w:rsidR="004D5E7F" w:rsidRPr="004D4D9A">
        <w:rPr>
          <w:i/>
          <w:iCs/>
        </w:rPr>
        <w:t>1</w:t>
      </w:r>
      <w:r w:rsidR="003F5BD4" w:rsidRPr="004D4D9A">
        <w:rPr>
          <w:i/>
          <w:iCs/>
        </w:rPr>
        <w:t>0</w:t>
      </w:r>
      <w:r w:rsidR="003964C0" w:rsidRPr="004D4D9A">
        <w:rPr>
          <w:i/>
          <w:iCs/>
        </w:rPr>
        <w:t>/</w:t>
      </w:r>
      <w:r w:rsidR="003F5BD4" w:rsidRPr="004D4D9A">
        <w:rPr>
          <w:i/>
          <w:iCs/>
        </w:rPr>
        <w:t>22</w:t>
      </w:r>
      <w:r w:rsidR="003964C0" w:rsidRPr="004D4D9A">
        <w:rPr>
          <w:i/>
          <w:iCs/>
        </w:rPr>
        <w:t>/202</w:t>
      </w:r>
      <w:r w:rsidR="003F5BD4" w:rsidRPr="004D4D9A">
        <w:rPr>
          <w:i/>
          <w:iCs/>
        </w:rPr>
        <w:t>4</w:t>
      </w:r>
    </w:p>
    <w:p w14:paraId="10102496" w14:textId="77777777" w:rsidR="005C06A2" w:rsidRDefault="005C06A2" w:rsidP="000E3DB3">
      <w:pPr>
        <w:pBdr>
          <w:bottom w:val="single" w:sz="12" w:space="1" w:color="auto"/>
        </w:pBdr>
        <w:rPr>
          <w:i/>
          <w:iCs/>
        </w:rPr>
      </w:pPr>
    </w:p>
    <w:p w14:paraId="56585094" w14:textId="77777777" w:rsidR="005C06A2" w:rsidRDefault="005C06A2" w:rsidP="000E3DB3">
      <w:pPr>
        <w:pBdr>
          <w:bottom w:val="single" w:sz="12" w:space="1" w:color="auto"/>
        </w:pBdr>
        <w:rPr>
          <w:i/>
          <w:iCs/>
        </w:rPr>
      </w:pPr>
    </w:p>
    <w:p w14:paraId="15181F8D" w14:textId="4AC3C481" w:rsidR="005C06A2" w:rsidRDefault="003F5BD4" w:rsidP="005C06A2">
      <w:pPr>
        <w:spacing w:after="0"/>
        <w:rPr>
          <w:i/>
          <w:iCs/>
        </w:rPr>
      </w:pPr>
      <w:r>
        <w:rPr>
          <w:i/>
          <w:iCs/>
        </w:rPr>
        <w:t>Thomas Grech</w:t>
      </w:r>
    </w:p>
    <w:p w14:paraId="597F1945" w14:textId="5AED1ACE" w:rsidR="005C06A2" w:rsidRDefault="003F5BD4" w:rsidP="00CD2429">
      <w:pPr>
        <w:spacing w:after="0"/>
      </w:pPr>
      <w:r>
        <w:rPr>
          <w:i/>
          <w:iCs/>
        </w:rPr>
        <w:t xml:space="preserve">Vice </w:t>
      </w:r>
      <w:r w:rsidR="005C06A2">
        <w:rPr>
          <w:i/>
          <w:iCs/>
        </w:rPr>
        <w:t>Chairman</w:t>
      </w:r>
    </w:p>
    <w:sectPr w:rsidR="005C06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6AA89" w14:textId="77777777" w:rsidR="000A5253" w:rsidRDefault="000A5253" w:rsidP="00545141">
      <w:pPr>
        <w:spacing w:after="0" w:line="240" w:lineRule="auto"/>
      </w:pPr>
      <w:r>
        <w:separator/>
      </w:r>
    </w:p>
  </w:endnote>
  <w:endnote w:type="continuationSeparator" w:id="0">
    <w:p w14:paraId="23BB1A16" w14:textId="77777777" w:rsidR="000A5253" w:rsidRDefault="000A5253" w:rsidP="0054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6F222" w14:textId="77777777" w:rsidR="00545141" w:rsidRDefault="00545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D97F2" w14:textId="77777777" w:rsidR="00545141" w:rsidRDefault="00545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7475" w14:textId="77777777" w:rsidR="00545141" w:rsidRDefault="0054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5CFB" w14:textId="77777777" w:rsidR="000A5253" w:rsidRDefault="000A5253" w:rsidP="00545141">
      <w:pPr>
        <w:spacing w:after="0" w:line="240" w:lineRule="auto"/>
      </w:pPr>
      <w:r>
        <w:separator/>
      </w:r>
    </w:p>
  </w:footnote>
  <w:footnote w:type="continuationSeparator" w:id="0">
    <w:p w14:paraId="11F81E82" w14:textId="77777777" w:rsidR="000A5253" w:rsidRDefault="000A5253" w:rsidP="0054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DC592" w14:textId="77777777" w:rsidR="00545141" w:rsidRDefault="00545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5363" w14:textId="77777777" w:rsidR="00545141" w:rsidRDefault="00545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0C856" w14:textId="77777777" w:rsidR="00545141" w:rsidRDefault="0054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73A06"/>
    <w:multiLevelType w:val="hybridMultilevel"/>
    <w:tmpl w:val="1EB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58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BF1"/>
    <w:rsid w:val="00034BA3"/>
    <w:rsid w:val="0009524B"/>
    <w:rsid w:val="000A5253"/>
    <w:rsid w:val="000E3DB3"/>
    <w:rsid w:val="00133ACF"/>
    <w:rsid w:val="001E3D40"/>
    <w:rsid w:val="00234402"/>
    <w:rsid w:val="00251781"/>
    <w:rsid w:val="003964C0"/>
    <w:rsid w:val="003F5BD4"/>
    <w:rsid w:val="004D4D9A"/>
    <w:rsid w:val="004D5E7F"/>
    <w:rsid w:val="004D6D12"/>
    <w:rsid w:val="00545141"/>
    <w:rsid w:val="005C06A2"/>
    <w:rsid w:val="005D29C9"/>
    <w:rsid w:val="0063463E"/>
    <w:rsid w:val="00650D82"/>
    <w:rsid w:val="007E0B20"/>
    <w:rsid w:val="00815BF1"/>
    <w:rsid w:val="00836B3E"/>
    <w:rsid w:val="008D4453"/>
    <w:rsid w:val="0098651D"/>
    <w:rsid w:val="009B5293"/>
    <w:rsid w:val="00A220DD"/>
    <w:rsid w:val="00A63C27"/>
    <w:rsid w:val="00A67C02"/>
    <w:rsid w:val="00BE4050"/>
    <w:rsid w:val="00C25DB5"/>
    <w:rsid w:val="00C84EC8"/>
    <w:rsid w:val="00CD2429"/>
    <w:rsid w:val="00D76DAB"/>
    <w:rsid w:val="00E833C8"/>
    <w:rsid w:val="00EA1F8D"/>
    <w:rsid w:val="00EC7C27"/>
    <w:rsid w:val="00ED2A3E"/>
    <w:rsid w:val="00FA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68643F"/>
  <w15:docId w15:val="{E6502FB7-AC67-4867-AAB5-2B698F72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D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45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41"/>
  </w:style>
  <w:style w:type="paragraph" w:styleId="Footer">
    <w:name w:val="footer"/>
    <w:basedOn w:val="Normal"/>
    <w:link w:val="FooterChar"/>
    <w:uiPriority w:val="99"/>
    <w:unhideWhenUsed/>
    <w:rsid w:val="00545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AE805-201C-41BB-B2F6-3734E4FC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Hempstead</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michlod</dc:creator>
  <cp:keywords/>
  <dc:description/>
  <cp:lastModifiedBy>Michael Lodato</cp:lastModifiedBy>
  <cp:revision>29</cp:revision>
  <cp:lastPrinted>2021-09-23T14:26:00Z</cp:lastPrinted>
  <dcterms:created xsi:type="dcterms:W3CDTF">2021-09-23T13:28:00Z</dcterms:created>
  <dcterms:modified xsi:type="dcterms:W3CDTF">2024-09-17T14:25:00Z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2022-12-20T16:54:48Z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43ffaf2f-aa91-408f-8d64-6503d45acf24</vt:lpwstr>
  </property>
  <property fmtid="{D5CDD505-2E9C-101B-9397-08002B2CF9AE}" pid="8" name="MSIP_Label_defa4170-0d19-0005-0004-bc88714345d2_ContentBits">
    <vt:lpwstr>0</vt:lpwstr>
  </property>
</Properties>
</file>